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heading=h.thie11oodjj8" w:id="0"/>
      <w:bookmarkEnd w:id="0"/>
      <w:r w:rsidDel="00000000" w:rsidR="00000000" w:rsidRPr="00000000">
        <w:rPr/>
        <w:drawing>
          <wp:inline distB="114300" distT="114300" distL="114300" distR="114300">
            <wp:extent cx="1885633" cy="1085850"/>
            <wp:effectExtent b="0" l="0" r="0" t="0"/>
            <wp:docPr id="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-557529</wp:posOffset>
            </wp:positionH>
            <wp:positionV relativeFrom="paragraph">
              <wp:posOffset>0</wp:posOffset>
            </wp:positionV>
            <wp:extent cx="1515110" cy="1250315"/>
            <wp:effectExtent b="0" l="0" r="0" t="0"/>
            <wp:wrapSquare wrapText="bothSides" distB="0" distT="0" distL="114300" distR="114300"/>
            <wp:docPr descr="cid:image001.jpg@01D093C3.A4ED8640" id="10" name="image1.jpg"/>
            <a:graphic>
              <a:graphicData uri="http://schemas.openxmlformats.org/drawingml/2006/picture">
                <pic:pic>
                  <pic:nvPicPr>
                    <pic:cNvPr descr="cid:image001.jpg@01D093C3.A4ED8640" id="0" name="image1.jpg"/>
                    <pic:cNvPicPr preferRelativeResize="0"/>
                  </pic:nvPicPr>
                  <pic:blipFill>
                    <a:blip r:embed="rId8"/>
                    <a:srcRect b="0" l="0" r="0" t="0"/>
                    <a:stretch>
                      <a:fillRect/>
                    </a:stretch>
                  </pic:blipFill>
                  <pic:spPr>
                    <a:xfrm>
                      <a:off x="0" y="0"/>
                      <a:ext cx="1515110" cy="1250315"/>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8" name=""/>
                <a:graphic>
                  <a:graphicData uri="http://schemas.microsoft.com/office/word/2010/wordprocessingShape">
                    <wps:wsp>
                      <wps:cNvSpPr/>
                      <wps:cNvPr id="4" name="Shape 4"/>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36"/>
                                <w:vertAlign w:val="baseline"/>
                              </w:rPr>
                              <w:t xml:space="preserve">Acceptance and Refusal of Authorisations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36"/>
                                <w:vertAlign w:val="baseline"/>
                              </w:rPr>
                            </w:r>
                            <w:r w:rsidDel="00000000" w:rsidR="00000000" w:rsidRPr="00000000">
                              <w:rPr>
                                <w:rFonts w:ascii="Arial" w:cs="Arial" w:eastAsia="Arial" w:hAnsi="Arial"/>
                                <w:b w:val="1"/>
                                <w:i w:val="0"/>
                                <w:smallCaps w:val="0"/>
                                <w:strike w:val="0"/>
                                <w:color w:val="000000"/>
                                <w:sz w:val="19"/>
                                <w:vertAlign w:val="baseline"/>
                              </w:rPr>
                              <w:t xml:space="preserve">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Purpose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outlines procedures to be followed when:</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written authorisation from a parent/guardian or person authorised and named in the enrolment record</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refusing written authorisation from a parent/guardian or person authorised and named in the enrolment record.</w:t>
      </w:r>
    </w:p>
    <w:p w:rsidR="00000000" w:rsidDel="00000000" w:rsidP="00000000" w:rsidRDefault="00000000" w:rsidRPr="00000000" w14:paraId="0000000D">
      <w:pPr>
        <w:pStyle w:val="Heading1"/>
        <w:rPr/>
      </w:pPr>
      <w:r w:rsidDel="00000000" w:rsidR="00000000" w:rsidRPr="00000000">
        <w:rPr>
          <w:rtl w:val="0"/>
        </w:rPr>
        <w:t xml:space="preserve">Policy statement</w:t>
      </w:r>
    </w:p>
    <w:p w:rsidR="00000000" w:rsidDel="00000000" w:rsidP="00000000" w:rsidRDefault="00000000" w:rsidRPr="00000000" w14:paraId="0000000E">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 Hours Care is committed to:</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safety and wellbeing of all children attending the service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its duty of care obligations under the law.</w:t>
      </w:r>
      <w:r w:rsidDel="00000000" w:rsidR="00000000" w:rsidRPr="00000000">
        <w:rPr>
          <w:rtl w:val="0"/>
        </w:rPr>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Delacombe Primary School Outside of School Hours Care .</w:t>
      </w:r>
    </w:p>
    <w:p w:rsidR="00000000" w:rsidDel="00000000" w:rsidP="00000000" w:rsidRDefault="00000000" w:rsidRPr="00000000" w14:paraId="00000014">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5">
      <w:pPr>
        <w:pStyle w:val="Heading4"/>
        <w:rPr/>
      </w:pPr>
      <w:r w:rsidDel="00000000" w:rsidR="00000000" w:rsidRPr="00000000">
        <w:rPr>
          <w:rtl w:val="0"/>
        </w:rPr>
        <w:t xml:space="preserve">Background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National Law and Regulations, early childhood services are required to obtain written authorisation from parents/guardians, and/or authorised nominees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some circumstances, to ensure that the health, safety, wellbeing and best interests of the child are met. These circumstances include but are not limited to:</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self-administration of medication (Regulation 96)</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leaving the service premises (Regulation 99)</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being taken on excursions (Regulation 102).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service policies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include details of the conditions under which written authorisations will be accepted. However, there may be instances when a service refuses to accept a written authorisation.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168(2)(m)) specify that services are required to develop a policy in relation to the acceptance and refusal of authorisations to help educators/staff and parents/guardians understand exactly what they need to do.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adopt a policy position accepting authorisations for persons over the age of 16 to collect a child from the service. This decision will then be outlined in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event that the service receives written authorisation for a person under the age specified in its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collect a child from the service, the procedures outlined below for refusing this written authorisation would be enacted.</w:t>
      </w:r>
    </w:p>
    <w:p w:rsidR="00000000" w:rsidDel="00000000" w:rsidP="00000000" w:rsidRDefault="00000000" w:rsidRPr="00000000" w14:paraId="0000001C">
      <w:pPr>
        <w:spacing w:after="0" w:lineRule="auto"/>
        <w:rPr>
          <w:b w:val="1"/>
          <w:color w:val="000000"/>
          <w:sz w:val="20"/>
          <w:szCs w:val="20"/>
        </w:rPr>
      </w:pP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Legislation and standards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 (Part 2: Principles for Children)</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167</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96, 99, 102, 160, 161, 168(2)(m), 170</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Family Law Act 1975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762625" cy="650875"/>
                <wp:effectExtent b="0" l="0" r="0" t="0"/>
                <wp:wrapSquare wrapText="bothSides" distB="0" distT="0" distL="114300" distR="114300"/>
                <wp:docPr id="7" name=""/>
                <a:graphic>
                  <a:graphicData uri="http://schemas.microsoft.com/office/word/2010/wordprocessingShape">
                    <wps:wsp>
                      <wps:cNvSpPr/>
                      <wps:cNvPr id="3" name="Shape 3"/>
                      <wps:spPr>
                        <a:xfrm>
                          <a:off x="2469450" y="3459325"/>
                          <a:ext cx="5753100" cy="64135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40"/>
                              <w:ind w:left="454.00001525878906" w:right="0" w:firstLine="227.00000762939453"/>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0" w:before="0" w:line="240"/>
                              <w:ind w:left="454.00001525878906" w:right="0" w:firstLine="227.00000762939453"/>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762625" cy="65087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62625" cy="650875"/>
                        </a:xfrm>
                        <a:prstGeom prst="rect"/>
                        <a:ln/>
                      </pic:spPr>
                    </pic:pic>
                  </a:graphicData>
                </a:graphic>
              </wp:anchor>
            </w:drawing>
          </mc:Fallback>
        </mc:AlternateContent>
      </w:r>
    </w:p>
    <w:p w:rsidR="00000000" w:rsidDel="00000000" w:rsidP="00000000" w:rsidRDefault="00000000" w:rsidRPr="00000000" w14:paraId="00000026">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Attendance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Kept by the service to record details of each child attending the service including name, time of arrival and departure, signature of person delivering and collecting the child or of the Nominated Supervisor or educator (Regulation 158(1)).</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Authorised nominee: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a person who has been given written authority by the parents/guardians of a child to collect that child from the education and care service. These details will be on the child’s enrolment form.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763895" cy="637540"/>
                <wp:effectExtent b="0" l="0" r="0" t="0"/>
                <wp:docPr id="6" name=""/>
                <a:graphic>
                  <a:graphicData uri="http://schemas.microsoft.com/office/word/2010/wordprocessingShape">
                    <wps:wsp>
                      <wps:cNvSpPr/>
                      <wps:cNvPr id="2" name="Shape 2"/>
                      <wps:spPr>
                        <a:xfrm>
                          <a:off x="2468815" y="3465993"/>
                          <a:ext cx="5754370" cy="628015"/>
                        </a:xfrm>
                        <a:prstGeom prst="rect">
                          <a:avLst/>
                        </a:prstGeom>
                        <a:solidFill>
                          <a:srgbClr val="DDDDDD"/>
                        </a:solidFill>
                        <a:ln>
                          <a:noFill/>
                        </a:ln>
                      </wps:spPr>
                      <wps:txbx>
                        <w:txbxContent>
                          <w:p w:rsidR="00000000" w:rsidDel="00000000" w:rsidP="00000000" w:rsidRDefault="00000000" w:rsidRPr="00000000">
                            <w:pPr>
                              <w:spacing w:after="170" w:before="6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anchorCtr="0" anchor="ctr" bIns="45700" lIns="91425" spcFirstLastPara="1" rIns="91425" wrap="square" tIns="45700">
                        <a:noAutofit/>
                      </wps:bodyPr>
                    </wps:wsp>
                  </a:graphicData>
                </a:graphic>
              </wp:inline>
            </w:drawing>
          </mc:Choice>
          <mc:Fallback>
            <w:drawing>
              <wp:inline distB="0" distT="0" distL="0" distR="0">
                <wp:extent cx="5763895" cy="637540"/>
                <wp:effectExtent b="0" l="0" r="0" t="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63895" cy="637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Inappropriate person: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000000" w:rsidDel="00000000" w:rsidP="00000000" w:rsidRDefault="00000000" w:rsidRPr="00000000" w14:paraId="0000002E">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2F">
      <w:pPr>
        <w:pStyle w:val="Heading4"/>
        <w:rPr/>
      </w:pPr>
      <w:r w:rsidDel="00000000" w:rsidR="00000000" w:rsidRPr="00000000">
        <w:rPr>
          <w:rtl w:val="0"/>
        </w:rPr>
        <w:t xml:space="preserve">Sources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Children’s Education and Care Quality Authority (ACECQA):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39">
      <w:pPr>
        <w:pStyle w:val="Heading1"/>
        <w:rPr/>
      </w:pPr>
      <w:r w:rsidDel="00000000" w:rsidR="00000000" w:rsidRPr="00000000">
        <w:rPr>
          <w:rtl w:val="0"/>
        </w:rPr>
        <w:t xml:space="preserve">Procedures</w:t>
      </w:r>
    </w:p>
    <w:p w:rsidR="00000000" w:rsidDel="00000000" w:rsidP="00000000" w:rsidRDefault="00000000" w:rsidRPr="00000000" w14:paraId="0000003A">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are provided with a copy of all service policies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and all staff follow the policies and procedures of the service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parents/guardians have completed the authorised nominee section of their child’s enrolment form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the form is signed and dated before the child is enrolled at the service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permission forms for excursions are provided to the parent/guardian or authorised nominee prior to the excursion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maintained to account for all children attending the service</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a written record of all visitors to the service, including time of arrival and departure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children require medication to be administered by educators/staff, this is authorised in writing, signed and dated by a parent/guardian or authorised nominee, and included with the child’s medication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educators/staff do not administer medication without the authorisation of a parent/guardian or authorised nominee, except in the case of an emergency, including an asthma or anaphylaxis emergency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educators/staff allow a child to participate in an excursion only with the written authorisation of a parent/guardian or authorised nominee including details required under Regulation 102(4)&amp;(5)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educators/staff allow a child to depart from the service only with a person who is the parent/guardian or authorised nominee, or with the written authorisation of one of these, except in the case of a medical or other emergency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are procedures in place if an inappropriate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attempts to collect a child from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enacting procedures for dealing with a written authorisation that does not meet the requirements outlined in service policies (refer to Attachment 1).</w:t>
      </w:r>
    </w:p>
    <w:p w:rsidR="00000000" w:rsidDel="00000000" w:rsidP="00000000" w:rsidRDefault="00000000" w:rsidRPr="00000000" w14:paraId="00000047">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policy and procedures of the service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administered to a child without the authorisation of a parent/guardian or authorised nominee, except in the case of an emergency, including an asthma or anaphylaxis emergency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Emergency and 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child only departs from the service with a person who is the parent/guardian or authorised nominee, or with the written authorisation of one of these, except in the case of a medical or other emergency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child is not taken outside the service premises on an excursion except with the written authorisation of a parent/guardian or authorised nominee including details required under Regulation 102(4)&amp;(5)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when a written authorisation does not meet the requirements outlined in service policies.</w:t>
      </w:r>
    </w:p>
    <w:p w:rsidR="00000000" w:rsidDel="00000000" w:rsidP="00000000" w:rsidRDefault="00000000" w:rsidRPr="00000000" w14:paraId="0000004D">
      <w:pPr>
        <w:pStyle w:val="Heading4"/>
        <w:spacing w:before="17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policies and procedures of the service</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that parents/guardians sign and date permission forms for excursions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checking that parents/guardians or authorised nominees sign the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their child arrives at and departs from the service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medication only with the written authorisation of a parent/guardian or authorised nominee, except in the case of an emergency, including an asthma or anaphylaxis emergency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Medication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Injury, Trauma and Illness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a child to participate in an excursion only with the written authorisation of a parent/guardian or authorised nominee including details required under Regulation 102(4)&amp;(5)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a child to depart from the service only with a person who is the parent/guardian or authorised nominee, or with the written authorisation of one of these, except in the case of a medical or other emergency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procedures if an inappropriate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attempts to collect a child from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when a written authorisation does not meet the requirements outlined in service policies.</w:t>
      </w:r>
    </w:p>
    <w:p w:rsidR="00000000" w:rsidDel="00000000" w:rsidP="00000000" w:rsidRDefault="00000000" w:rsidRPr="00000000" w14:paraId="00000056">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the policies and procedures of the service</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and signing the authorised nominee section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their child’s enrolment form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before their child commences at the service</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signing and dating permission forms for excursions</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signing the attendance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their child arrives at and departs from the service</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authorisation where children require medication to be administered by educators/staff, and signing and dating it for inclusion in the child’s medication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p>
    <w:p w:rsidR="00000000" w:rsidDel="00000000" w:rsidP="00000000" w:rsidRDefault="00000000" w:rsidRPr="00000000" w14:paraId="0000005E">
      <w:pPr>
        <w:pStyle w:val="Heading1"/>
        <w:rPr/>
      </w:pPr>
      <w:r w:rsidDel="00000000" w:rsidR="00000000" w:rsidRPr="00000000">
        <w:rPr>
          <w:rtl w:val="0"/>
        </w:rPr>
        <w:t xml:space="preserve">Evaluation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Attachments</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for refusing a written authorisation</w:t>
      </w:r>
    </w:p>
    <w:p w:rsidR="00000000" w:rsidDel="00000000" w:rsidP="00000000" w:rsidRDefault="00000000" w:rsidRPr="00000000" w14:paraId="00000068">
      <w:pPr>
        <w:pStyle w:val="Heading1"/>
        <w:rPr/>
      </w:pPr>
      <w:r w:rsidDel="00000000" w:rsidR="00000000" w:rsidRPr="00000000">
        <w:rPr>
          <w:rtl w:val="0"/>
        </w:rPr>
        <w:t xml:space="preserve">Authorisation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Delacombe Primary School Outside of School Hours Care on 20-5-2019</w:t>
      </w:r>
    </w:p>
    <w:p w:rsidR="00000000" w:rsidDel="00000000" w:rsidP="00000000" w:rsidRDefault="00000000" w:rsidRPr="00000000" w14:paraId="0000006A">
      <w:pPr>
        <w:pStyle w:val="Heading1"/>
        <w:rPr>
          <w:b w:val="0"/>
        </w:rPr>
      </w:pPr>
      <w:r w:rsidDel="00000000" w:rsidR="00000000" w:rsidRPr="00000000">
        <w:rPr>
          <w:rtl w:val="0"/>
        </w:rPr>
        <w:t xml:space="preserve">Review date:   May 2022</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refusing a written authorisation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receipt of a written authorisation from a parent/guardian that does not meet the requirements outlined in the related service policy, the Approved Provider will:</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explain to the parent/guardian that their written authorisation contravenes service policy, and that it cannot be accepted</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parent/guardian is provided with a copy of the relevant service policy and that they understand the reasons for the refusal of the authorisation</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 that an appropriate alternative written authorisation is provided by the parent/guardian that complies with the requirements of the relevant service policy</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procedures outlined in the relevant service policy are followed where a parent/guardian cannot be immediately contacted to provide an alternative written authorisation</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up with the parent/guardian, where required, to ensure that an appropriate written authorisation is obtained.</w:t>
      </w:r>
    </w:p>
    <w:sectPr>
      <w:footerReference r:id="rId13"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454" w:hanging="227"/>
      </w:pPr>
      <w:rPr>
        <w:rFonts w:ascii="Noto Sans Symbols" w:cs="Noto Sans Symbols" w:eastAsia="Noto Sans Symbols" w:hAnsi="Noto Sans Symbols"/>
        <w:color w:val="231f20"/>
      </w:rPr>
    </w:lvl>
    <w:lvl w:ilvl="1">
      <w:start w:val="1"/>
      <w:numFmt w:val="bullet"/>
      <w:lvlText w:val="−"/>
      <w:lvlJc w:val="left"/>
      <w:pPr>
        <w:ind w:left="681" w:hanging="227.0000000000001"/>
      </w:pPr>
      <w:rPr>
        <w:rFonts w:ascii="Noto Sans Symbols" w:cs="Noto Sans Symbols" w:eastAsia="Noto Sans Symbols" w:hAnsi="Noto Sans Symbols"/>
      </w:rPr>
    </w:lvl>
    <w:lvl w:ilvl="2">
      <w:start w:val="1"/>
      <w:numFmt w:val="bullet"/>
      <w:lvlText w:val="−"/>
      <w:lvlJc w:val="left"/>
      <w:pPr>
        <w:ind w:left="907" w:hanging="226"/>
      </w:pPr>
      <w:rPr>
        <w:rFonts w:ascii="Noto Sans Symbols" w:cs="Noto Sans Symbols" w:eastAsia="Noto Sans Symbols" w:hAnsi="Noto Sans Symbols"/>
      </w:rPr>
    </w:lvl>
    <w:lvl w:ilvl="3">
      <w:start w:val="1"/>
      <w:numFmt w:val="decimal"/>
      <w:lvlText w:val="(%4)"/>
      <w:lvlJc w:val="left"/>
      <w:pPr>
        <w:ind w:left="1667" w:hanging="360"/>
      </w:pPr>
      <w:rPr/>
    </w:lvl>
    <w:lvl w:ilvl="4">
      <w:start w:val="1"/>
      <w:numFmt w:val="lowerLetter"/>
      <w:lvlText w:val="(%5)"/>
      <w:lvlJc w:val="left"/>
      <w:pPr>
        <w:ind w:left="2027" w:hanging="360"/>
      </w:pPr>
      <w:rPr/>
    </w:lvl>
    <w:lvl w:ilvl="5">
      <w:start w:val="1"/>
      <w:numFmt w:val="lowerRoman"/>
      <w:lvlText w:val="(%6)"/>
      <w:lvlJc w:val="left"/>
      <w:pPr>
        <w:ind w:left="2387" w:hanging="360"/>
      </w:pPr>
      <w:rPr/>
    </w:lvl>
    <w:lvl w:ilvl="6">
      <w:start w:val="1"/>
      <w:numFmt w:val="decimal"/>
      <w:lvlText w:val="%7."/>
      <w:lvlJc w:val="left"/>
      <w:pPr>
        <w:ind w:left="2747" w:hanging="360"/>
      </w:pPr>
      <w:rPr/>
    </w:lvl>
    <w:lvl w:ilvl="7">
      <w:start w:val="1"/>
      <w:numFmt w:val="lowerLetter"/>
      <w:lvlText w:val="%8."/>
      <w:lvlJc w:val="left"/>
      <w:pPr>
        <w:ind w:left="3107" w:hanging="360"/>
      </w:pPr>
      <w:rPr/>
    </w:lvl>
    <w:lvl w:ilvl="8">
      <w:start w:val="1"/>
      <w:numFmt w:val="lowerRoman"/>
      <w:lvlText w:val="%9."/>
      <w:lvlJc w:val="left"/>
      <w:pPr>
        <w:ind w:left="3467"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CB5970"/>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D12C32"/>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D12C32"/>
    <w:rPr>
      <w:rFonts w:cs="Arial" w:eastAsia="Times New Roman"/>
      <w:b w:val="1"/>
      <w:bCs w:val="1"/>
      <w:color w:val="000000"/>
      <w:szCs w:val="19"/>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character" w:styleId="Hyperlink">
    <w:name w:val="Hyperlink"/>
    <w:unhideWhenUsed w:val="1"/>
    <w:rsid w:val="00316F5E"/>
    <w:rPr>
      <w:color w:val="0000ff"/>
      <w:u w:val="single"/>
    </w:rPr>
  </w:style>
  <w:style w:type="paragraph" w:styleId="FootnoteText">
    <w:name w:val="footnote text"/>
    <w:basedOn w:val="Normal"/>
    <w:link w:val="FootnoteTextChar"/>
    <w:uiPriority w:val="99"/>
    <w:semiHidden w:val="1"/>
    <w:unhideWhenUsed w:val="1"/>
    <w:rsid w:val="00920DBA"/>
    <w:pPr>
      <w:spacing w:after="0"/>
    </w:pPr>
    <w:rPr>
      <w:rFonts w:eastAsia="Times New Roman"/>
      <w:snapToGrid w:val="0"/>
      <w:sz w:val="20"/>
      <w:szCs w:val="20"/>
    </w:rPr>
  </w:style>
  <w:style w:type="character" w:styleId="FootnoteTextChar" w:customStyle="1">
    <w:name w:val="Footnote Text Char"/>
    <w:link w:val="FootnoteText"/>
    <w:uiPriority w:val="99"/>
    <w:semiHidden w:val="1"/>
    <w:rsid w:val="00920DBA"/>
    <w:rPr>
      <w:rFonts w:cs="Times New Roman" w:eastAsia="Times New Roman"/>
      <w:snapToGrid w:val="0"/>
      <w:sz w:val="20"/>
      <w:szCs w:val="20"/>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969AD"/>
    <w:pPr>
      <w:spacing w:before="170"/>
    </w:pPr>
  </w:style>
  <w:style w:type="paragraph" w:styleId="Policytext" w:customStyle="1">
    <w:name w:val="Policy text"/>
    <w:link w:val="PolicytextChar"/>
    <w:rsid w:val="00FE1CD4"/>
    <w:pPr>
      <w:spacing w:after="40" w:before="80" w:line="280" w:lineRule="atLeast"/>
    </w:pPr>
    <w:rPr>
      <w:rFonts w:eastAsia="Times New Roman"/>
      <w:snapToGrid w:val="0"/>
      <w:lang w:eastAsia="en-US" w:val="en-US"/>
    </w:rPr>
  </w:style>
  <w:style w:type="paragraph" w:styleId="Policybullets" w:customStyle="1">
    <w:name w:val="Policy bullets"/>
    <w:basedOn w:val="Policytext"/>
    <w:rsid w:val="00FE1CD4"/>
    <w:pPr>
      <w:tabs>
        <w:tab w:val="num" w:pos="360"/>
      </w:tabs>
      <w:ind w:left="284" w:hanging="284"/>
    </w:pPr>
  </w:style>
  <w:style w:type="character" w:styleId="PolicytextChar" w:customStyle="1">
    <w:name w:val="Policy text Char"/>
    <w:link w:val="Policytext"/>
    <w:rsid w:val="00FE1CD4"/>
    <w:rPr>
      <w:rFonts w:cs="Times New Roman" w:eastAsia="Times New Roman"/>
      <w:snapToGrid w:val="0"/>
      <w:sz w:val="20"/>
      <w:szCs w:val="20"/>
      <w:lang w:val="en-US"/>
    </w:rPr>
  </w:style>
  <w:style w:type="paragraph" w:styleId="NormalWeb">
    <w:name w:val="Normal (Web)"/>
    <w:basedOn w:val="Normal"/>
    <w:uiPriority w:val="99"/>
    <w:unhideWhenUsed w:val="1"/>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val="1"/>
    <w:rsid w:val="00CB5970"/>
    <w:pPr>
      <w:spacing w:after="200" w:line="276" w:lineRule="auto"/>
      <w:ind w:left="720"/>
      <w:contextualSpacing w:val="1"/>
    </w:pPr>
    <w:rPr>
      <w:rFonts w:ascii="Corbel" w:eastAsia="Calibri" w:hAnsi="Corbel"/>
      <w:sz w:val="22"/>
      <w:szCs w:val="22"/>
    </w:rPr>
  </w:style>
  <w:style w:type="character" w:styleId="CommentReference">
    <w:name w:val="annotation reference"/>
    <w:uiPriority w:val="99"/>
    <w:semiHidden w:val="1"/>
    <w:unhideWhenUsed w:val="1"/>
    <w:rsid w:val="00CB5970"/>
    <w:rPr>
      <w:sz w:val="16"/>
      <w:szCs w:val="16"/>
    </w:rPr>
  </w:style>
  <w:style w:type="paragraph" w:styleId="CommentText">
    <w:name w:val="annotation text"/>
    <w:basedOn w:val="Normal"/>
    <w:link w:val="CommentTextChar"/>
    <w:uiPriority w:val="99"/>
    <w:semiHidden w:val="1"/>
    <w:unhideWhenUsed w:val="1"/>
    <w:rsid w:val="00CB5970"/>
    <w:rPr>
      <w:sz w:val="20"/>
      <w:szCs w:val="20"/>
    </w:rPr>
  </w:style>
  <w:style w:type="character" w:styleId="CommentTextChar" w:customStyle="1">
    <w:name w:val="Comment Text Char"/>
    <w:link w:val="CommentText"/>
    <w:uiPriority w:val="99"/>
    <w:semiHidden w:val="1"/>
    <w:rsid w:val="00CB5970"/>
    <w:rPr>
      <w:lang w:eastAsia="en-US"/>
    </w:rPr>
  </w:style>
  <w:style w:type="paragraph" w:styleId="CommentSubject">
    <w:name w:val="annotation subject"/>
    <w:basedOn w:val="CommentText"/>
    <w:next w:val="CommentText"/>
    <w:link w:val="CommentSubjectChar"/>
    <w:uiPriority w:val="99"/>
    <w:semiHidden w:val="1"/>
    <w:unhideWhenUsed w:val="1"/>
    <w:rsid w:val="00CB5970"/>
    <w:rPr>
      <w:b w:val="1"/>
      <w:bCs w:val="1"/>
    </w:rPr>
  </w:style>
  <w:style w:type="character" w:styleId="CommentSubjectChar" w:customStyle="1">
    <w:name w:val="Comment Subject Char"/>
    <w:link w:val="CommentSubject"/>
    <w:uiPriority w:val="99"/>
    <w:semiHidden w:val="1"/>
    <w:rsid w:val="00CB5970"/>
    <w:rPr>
      <w:b w:val="1"/>
      <w:bCs w:val="1"/>
      <w:lang w:eastAsia="en-US"/>
    </w:rPr>
  </w:style>
  <w:style w:type="character" w:styleId="FollowedHyperlink">
    <w:name w:val="FollowedHyperlink"/>
    <w:uiPriority w:val="99"/>
    <w:semiHidden w:val="1"/>
    <w:unhideWhenUsed w:val="1"/>
    <w:rsid w:val="0009571C"/>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yperlink" Target="http://www.acecq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2JwKEWr4CHrGwPsyIwNApzR+w==">AMUW2mVKZfas+/rxVCg6CeY7gUbu41HcfSyLgYEp66FPT2hIaDpZXmDmBFwYZuYjTQ5lNj3fJNd/58N90WmYU/U8sXGM32mw7HC8CayUpbsHD1oAtrHKj3u/0KGFIO1ffqyb7DRfifFxOkXvw0lK50ZAt4OGlFz70A==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2018-04-18T04:01:00Z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